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34F98" w14:textId="77777777" w:rsidR="00196869" w:rsidRPr="0052548E" w:rsidRDefault="00196869" w:rsidP="001968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231204"/>
      <w:bookmarkStart w:id="1" w:name="_Ref513464071"/>
      <w:bookmarkStart w:id="2" w:name="_Hlk47516216"/>
      <w:bookmarkStart w:id="3" w:name="_Hlk53437339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0C0AFA"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9D27B8" w:rsidRPr="0059447D">
        <w:rPr>
          <w:rFonts w:ascii="Arial" w:hAnsi="Arial" w:cs="Arial"/>
          <w:b/>
          <w:bCs/>
          <w:sz w:val="28"/>
        </w:rPr>
        <w:t>21</w:t>
      </w:r>
      <w:r w:rsidR="009D27B8">
        <w:rPr>
          <w:rFonts w:ascii="Arial" w:hAnsi="Arial" w:cs="Arial"/>
          <w:b/>
          <w:bCs/>
          <w:sz w:val="28"/>
        </w:rPr>
        <w:t>1183</w:t>
      </w:r>
      <w:r w:rsidR="0058340A">
        <w:rPr>
          <w:rFonts w:ascii="Arial" w:hAnsi="Arial" w:cs="Arial"/>
          <w:b/>
          <w:bCs/>
          <w:sz w:val="28"/>
        </w:rPr>
        <w:t>3</w:t>
      </w:r>
    </w:p>
    <w:p w14:paraId="2F60B3FD" w14:textId="495B821B" w:rsidR="00786E72" w:rsidRDefault="00786E72" w:rsidP="00786E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bookmarkStart w:id="4" w:name="_Hlk83761924"/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C0AFA">
        <w:rPr>
          <w:rFonts w:ascii="Arial" w:eastAsia="MS Mincho" w:hAnsi="Arial" w:cs="Arial"/>
          <w:b/>
          <w:bCs/>
          <w:sz w:val="28"/>
          <w:lang w:eastAsia="ja-JP"/>
        </w:rPr>
        <w:t>Novem</w:t>
      </w:r>
      <w:r>
        <w:rPr>
          <w:rFonts w:ascii="Arial" w:eastAsia="MS Mincho" w:hAnsi="Arial" w:cs="Arial"/>
          <w:b/>
          <w:bCs/>
          <w:sz w:val="28"/>
          <w:lang w:eastAsia="ja-JP"/>
        </w:rPr>
        <w:t>ber 11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3"/>
    <w:bookmarkEnd w:id="4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FD137F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A865BE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4900A411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4768B">
        <w:rPr>
          <w:rFonts w:ascii="Arial" w:hAnsi="Arial" w:cs="Arial"/>
          <w:b/>
          <w:bCs/>
        </w:rPr>
        <w:t>Discussion</w:t>
      </w:r>
      <w:r w:rsidR="00A865BE">
        <w:rPr>
          <w:rFonts w:ascii="Arial" w:hAnsi="Arial" w:cs="Arial"/>
          <w:b/>
          <w:bCs/>
        </w:rPr>
        <w:t>s</w:t>
      </w:r>
      <w:r w:rsidR="0094768B">
        <w:rPr>
          <w:rFonts w:ascii="Arial" w:hAnsi="Arial" w:cs="Arial"/>
          <w:b/>
          <w:bCs/>
        </w:rPr>
        <w:t xml:space="preserve"> on </w:t>
      </w:r>
      <w:r w:rsidR="00A865BE">
        <w:rPr>
          <w:rFonts w:ascii="Arial" w:hAnsi="Arial" w:cs="Arial"/>
          <w:b/>
          <w:bCs/>
        </w:rPr>
        <w:t>PDCCH monitoring enhancements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0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1"/>
    </w:p>
    <w:p w14:paraId="2F9D2494" w14:textId="2FC83303" w:rsidR="00196869" w:rsidRDefault="00196869" w:rsidP="00196869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</w:t>
      </w:r>
      <w:r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>#</w:t>
      </w:r>
      <w:r>
        <w:rPr>
          <w:rFonts w:ascii="Arial" w:hAnsi="Arial" w:cs="Arial"/>
        </w:rPr>
        <w:t>10</w:t>
      </w:r>
      <w:r w:rsidR="00057315">
        <w:rPr>
          <w:rFonts w:ascii="Arial" w:hAnsi="Arial" w:cs="Arial"/>
        </w:rPr>
        <w:t>6</w:t>
      </w:r>
      <w:r w:rsidR="000C0AFA">
        <w:rPr>
          <w:rFonts w:ascii="Arial" w:hAnsi="Arial" w:cs="Arial"/>
        </w:rPr>
        <w:t>bis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</w:t>
      </w:r>
      <w:r w:rsidR="00401BB0">
        <w:rPr>
          <w:rFonts w:ascii="Arial" w:hAnsi="Arial" w:cs="Arial"/>
        </w:rPr>
        <w:t>1</w:t>
      </w:r>
      <w:r>
        <w:rPr>
          <w:rFonts w:ascii="Arial" w:hAnsi="Arial" w:cs="Arial"/>
        </w:rPr>
        <w:t>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following agreements on PDCCH monitoring enhancements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6869" w14:paraId="2F5D4F62" w14:textId="77777777" w:rsidTr="00196869">
        <w:tc>
          <w:tcPr>
            <w:tcW w:w="9962" w:type="dxa"/>
          </w:tcPr>
          <w:p w14:paraId="0F392DCA" w14:textId="77777777" w:rsidR="000C0AFA" w:rsidRPr="007F786E" w:rsidRDefault="000C0AFA" w:rsidP="000C0AFA">
            <w:pPr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</w:p>
          <w:p w14:paraId="1F9E4CFE" w14:textId="77777777" w:rsidR="000C0AFA" w:rsidRPr="007F786E" w:rsidRDefault="000C0AFA" w:rsidP="000C0AFA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Multi-slot PDCCH monitoring is based on slots within a slot group</w:t>
            </w:r>
          </w:p>
          <w:p w14:paraId="16FC5F01" w14:textId="77777777" w:rsidR="000C0AFA" w:rsidRPr="007F786E" w:rsidRDefault="000C0AFA" w:rsidP="000C0AFA">
            <w:pPr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Each slot group consists of X consecutive slots</w:t>
            </w:r>
          </w:p>
          <w:p w14:paraId="6AD55BB6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Slot groups are consecutive and non-overlapping</w:t>
            </w:r>
          </w:p>
          <w:p w14:paraId="162C57B8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 start of the first slot group in a subframe is aligned with the subframe boundary</w:t>
            </w:r>
          </w:p>
          <w:p w14:paraId="3E2DF866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 start of each slot group is aligned with a slot boundary</w:t>
            </w:r>
          </w:p>
          <w:p w14:paraId="049F30A2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Reporting the BD/CCE budget for X=4/8 slots (for 480/960 kHz resp.) is mandatory (if UE supports the corresponding SCS), and is optional for X=[2]/4 slots (for 480/960 kHz resp.)</w:t>
            </w:r>
          </w:p>
          <w:p w14:paraId="6A196694" w14:textId="77777777" w:rsidR="000C0AFA" w:rsidRPr="007F786E" w:rsidRDefault="000C0AFA" w:rsidP="000C0AFA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There is a common BD budget for all search spaces</w:t>
            </w:r>
          </w:p>
          <w:p w14:paraId="6B8130A7" w14:textId="77777777" w:rsidR="000C0AFA" w:rsidRPr="007F786E" w:rsidRDefault="000C0AFA" w:rsidP="000C0AFA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 xml:space="preserve">FFS: </w:t>
            </w:r>
            <w:bookmarkStart w:id="5" w:name="_Hlk87019506"/>
            <w:r w:rsidRPr="007F786E">
              <w:rPr>
                <w:rFonts w:ascii="Times New Roman" w:hAnsi="Times New Roman" w:cs="Times New Roman"/>
                <w:lang w:eastAsia="x-none"/>
              </w:rPr>
              <w:t>Search space configuration</w:t>
            </w:r>
          </w:p>
          <w:p w14:paraId="56345E4B" w14:textId="77777777" w:rsidR="000C0AFA" w:rsidRPr="007F786E" w:rsidRDefault="000C0AFA" w:rsidP="000C0AFA">
            <w:pPr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For Group (1) SS</w:t>
            </w:r>
          </w:p>
          <w:p w14:paraId="3212452E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A SS is configured to be within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consecutive slots within a slot group of X slots</w:t>
            </w:r>
          </w:p>
          <w:p w14:paraId="01F4B8B3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 location of the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consecutive slots within a slot group of X slots is based on a time offset within the slot group based on slot index n0 determined for Group (2) monitoring such that the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slots overlap the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slots</w:t>
            </w:r>
          </w:p>
          <w:p w14:paraId="245E6D57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 location of the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consecutive slots within a slot group of X slots is maintained across different slot groups (unless n0 changes)</w:t>
            </w:r>
          </w:p>
          <w:p w14:paraId="559572EE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BD attempts for all Group (1) SSs are restricted to fall within the same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consecutive slots</w:t>
            </w:r>
          </w:p>
          <w:p w14:paraId="6166FA83" w14:textId="77777777" w:rsidR="000C0AFA" w:rsidRPr="007F786E" w:rsidRDefault="000C0AFA" w:rsidP="000C0AFA">
            <w:pPr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For Group (2) SS</w:t>
            </w:r>
          </w:p>
          <w:p w14:paraId="46A55C90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A SS is configured to be within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consecutive slots within a slot group of X slots</w:t>
            </w:r>
          </w:p>
          <w:p w14:paraId="50DCEC82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 location of the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consecutive slots within a slot group of X slots is maintained across different slot groups (unless n0 changes)</w:t>
            </w:r>
          </w:p>
          <w:p w14:paraId="466A1C28" w14:textId="77777777" w:rsidR="000C0AFA" w:rsidRPr="007F786E" w:rsidRDefault="000C0AFA" w:rsidP="000C0AFA">
            <w:pPr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The reported capability indicates the BD/CCE budget within Y=max(Y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>, 2) slots per slot group</w:t>
            </w:r>
          </w:p>
          <w:p w14:paraId="6FC6F7B4" w14:textId="77777777" w:rsidR="000C0AFA" w:rsidRPr="007F786E" w:rsidRDefault="000C0AFA" w:rsidP="000C0AFA">
            <w:pPr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Support the following values of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 xml:space="preserve"> and 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</w:p>
          <w:p w14:paraId="3F19B80A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For X=8: (Y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>,Y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  <w:r w:rsidRPr="007F786E">
              <w:rPr>
                <w:rFonts w:ascii="Times New Roman" w:hAnsi="Times New Roman" w:cs="Times New Roman"/>
                <w:lang w:eastAsia="x-none"/>
              </w:rPr>
              <w:t>) = (4,2), (2,2), (1,[1 or 2])</w:t>
            </w:r>
          </w:p>
          <w:p w14:paraId="58B63704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For X=4: (Y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>,Y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  <w:r w:rsidRPr="007F786E">
              <w:rPr>
                <w:rFonts w:ascii="Times New Roman" w:hAnsi="Times New Roman" w:cs="Times New Roman"/>
                <w:lang w:eastAsia="x-none"/>
              </w:rPr>
              <w:t>) = (2,2), (1,[1 or 2])</w:t>
            </w:r>
          </w:p>
          <w:p w14:paraId="6169770F" w14:textId="77777777" w:rsidR="000C0AFA" w:rsidRPr="007F786E" w:rsidRDefault="000C0AFA" w:rsidP="000C0AFA">
            <w:pPr>
              <w:numPr>
                <w:ilvl w:val="2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For X=2: (Y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Group1</w:t>
            </w:r>
            <w:r w:rsidRPr="007F786E">
              <w:rPr>
                <w:rFonts w:ascii="Times New Roman" w:hAnsi="Times New Roman" w:cs="Times New Roman"/>
                <w:lang w:eastAsia="x-none"/>
              </w:rPr>
              <w:t>,Y</w:t>
            </w:r>
            <w:r w:rsidRPr="007F786E">
              <w:rPr>
                <w:rFonts w:ascii="Times New Roman" w:hAnsi="Times New Roman" w:cs="Times New Roman"/>
                <w:vertAlign w:val="subscript"/>
                <w:lang w:eastAsia="x-none"/>
              </w:rPr>
              <w:t>Group2</w:t>
            </w:r>
            <w:r w:rsidRPr="007F786E">
              <w:rPr>
                <w:rFonts w:ascii="Times New Roman" w:hAnsi="Times New Roman" w:cs="Times New Roman"/>
                <w:lang w:eastAsia="x-none"/>
              </w:rPr>
              <w:t>) = (1,[1 or 2])</w:t>
            </w:r>
          </w:p>
          <w:p w14:paraId="260955CA" w14:textId="77777777" w:rsidR="000C0AFA" w:rsidRPr="007F786E" w:rsidRDefault="000C0AFA" w:rsidP="000C0AFA">
            <w:pPr>
              <w:numPr>
                <w:ilvl w:val="1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7F786E">
              <w:rPr>
                <w:rFonts w:ascii="Times New Roman" w:hAnsi="Times New Roman" w:cs="Times New Roman"/>
                <w:lang w:eastAsia="x-none"/>
              </w:rPr>
              <w:t>Group (1) SS: Type 1 CSS with dedicated RRC configuration and type 3 CSS, UE specific SS</w:t>
            </w:r>
          </w:p>
          <w:p w14:paraId="7C10E63B" w14:textId="55E0343C" w:rsidR="00196869" w:rsidRPr="00057315" w:rsidRDefault="000C0AFA" w:rsidP="007F786E">
            <w:pPr>
              <w:numPr>
                <w:ilvl w:val="1"/>
                <w:numId w:val="54"/>
              </w:numPr>
              <w:spacing w:after="0" w:line="240" w:lineRule="auto"/>
            </w:pPr>
            <w:r w:rsidRPr="007F786E">
              <w:rPr>
                <w:rFonts w:ascii="Times New Roman" w:hAnsi="Times New Roman" w:cs="Times New Roman"/>
                <w:lang w:eastAsia="x-none"/>
              </w:rPr>
              <w:t>Group (2) SS: Type 1 CSS without dedicated RRC configuration and type 0, 0A, and 2 CSS</w:t>
            </w:r>
            <w:bookmarkEnd w:id="5"/>
          </w:p>
        </w:tc>
      </w:tr>
    </w:tbl>
    <w:p w14:paraId="427332A6" w14:textId="77777777" w:rsidR="00196869" w:rsidRDefault="00196869" w:rsidP="007378C4">
      <w:pPr>
        <w:spacing w:line="276" w:lineRule="auto"/>
        <w:jc w:val="both"/>
        <w:rPr>
          <w:rFonts w:ascii="Arial" w:hAnsi="Arial" w:cs="Arial"/>
        </w:rPr>
      </w:pPr>
    </w:p>
    <w:p w14:paraId="765FB366" w14:textId="473474D7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214E4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CA6094">
        <w:rPr>
          <w:rFonts w:ascii="Arial" w:hAnsi="Arial" w:cs="Arial"/>
        </w:rPr>
        <w:t>PDCCH monitoring</w:t>
      </w:r>
      <w:r>
        <w:rPr>
          <w:rFonts w:ascii="Arial" w:hAnsi="Arial" w:cs="Arial"/>
        </w:rPr>
        <w:t xml:space="preserve"> for new SCSs in 52.6 </w:t>
      </w:r>
      <w:r w:rsidR="00375955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55E56F35" w14:textId="1029D23F" w:rsidR="00401BB0" w:rsidRDefault="00401BB0" w:rsidP="00D6231E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RAN1#106bis-e [1], support of consecutive and non-overlapping slot groups was agreed with aligned slot/subframe boundaries. </w:t>
      </w:r>
      <w:r w:rsidR="0017778A">
        <w:rPr>
          <w:rFonts w:ascii="Arial" w:hAnsi="Arial" w:cs="Arial"/>
          <w:bCs/>
        </w:rPr>
        <w:t xml:space="preserve">In addition, </w:t>
      </w:r>
      <w:r>
        <w:rPr>
          <w:rFonts w:ascii="Arial" w:hAnsi="Arial" w:cs="Arial"/>
          <w:bCs/>
        </w:rPr>
        <w:t>, two search space groups were defined as follows:</w:t>
      </w:r>
    </w:p>
    <w:p w14:paraId="0023FD76" w14:textId="77777777" w:rsidR="00401BB0" w:rsidRPr="00401BB0" w:rsidRDefault="00401BB0" w:rsidP="00401BB0">
      <w:pPr>
        <w:pStyle w:val="ListParagraph"/>
        <w:numPr>
          <w:ilvl w:val="0"/>
          <w:numId w:val="57"/>
        </w:numPr>
        <w:spacing w:after="120" w:line="276" w:lineRule="auto"/>
        <w:jc w:val="both"/>
        <w:rPr>
          <w:rFonts w:ascii="Arial" w:hAnsi="Arial" w:cs="Arial"/>
          <w:bCs/>
        </w:rPr>
      </w:pPr>
      <w:r w:rsidRPr="00401BB0">
        <w:rPr>
          <w:rFonts w:ascii="Arial" w:hAnsi="Arial" w:cs="Arial"/>
          <w:bCs/>
        </w:rPr>
        <w:t>Group (1) SS: Type 1 CSS with dedicated RRC configuration and type 3 CSS, UE specific SS</w:t>
      </w:r>
    </w:p>
    <w:p w14:paraId="7FBF5514" w14:textId="77777777" w:rsidR="00401BB0" w:rsidRPr="00401BB0" w:rsidRDefault="00401BB0" w:rsidP="00401BB0">
      <w:pPr>
        <w:pStyle w:val="ListParagraph"/>
        <w:numPr>
          <w:ilvl w:val="0"/>
          <w:numId w:val="57"/>
        </w:numPr>
        <w:spacing w:after="120" w:line="276" w:lineRule="auto"/>
        <w:jc w:val="both"/>
        <w:rPr>
          <w:rFonts w:ascii="Arial" w:hAnsi="Arial" w:cs="Arial"/>
          <w:bCs/>
        </w:rPr>
      </w:pPr>
      <w:r w:rsidRPr="00401BB0">
        <w:rPr>
          <w:rFonts w:ascii="Arial" w:hAnsi="Arial" w:cs="Arial"/>
          <w:bCs/>
        </w:rPr>
        <w:t>Group (2) SS: Type 1 CSS without dedicated RRC configuration and type 0, 0A, and 2 CSS</w:t>
      </w:r>
    </w:p>
    <w:p w14:paraId="7D9E12CA" w14:textId="28170D5A" w:rsidR="00AA40E9" w:rsidRDefault="006A2E39" w:rsidP="00DD65EF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Based on the two search space groups, two possible options were discussed for a search space configuration:</w:t>
      </w:r>
    </w:p>
    <w:p w14:paraId="2C9F3F4A" w14:textId="7F31784D" w:rsidR="006A2E39" w:rsidRDefault="006A2E39" w:rsidP="00DD65EF">
      <w:pPr>
        <w:pStyle w:val="ListParagraph"/>
        <w:numPr>
          <w:ilvl w:val="0"/>
          <w:numId w:val="5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Option A</w:t>
      </w:r>
    </w:p>
    <w:p w14:paraId="1EFEDEE0" w14:textId="51E687B0" w:rsidR="006A2E39" w:rsidRDefault="006A2E39" w:rsidP="00DD65EF">
      <w:pPr>
        <w:pStyle w:val="ListParagraph"/>
        <w:numPr>
          <w:ilvl w:val="1"/>
          <w:numId w:val="58"/>
        </w:numPr>
        <w:rPr>
          <w:rFonts w:ascii="Arial" w:hAnsi="Arial" w:cs="Arial"/>
          <w:bCs/>
        </w:rPr>
      </w:pPr>
      <w:r w:rsidRPr="006A2E39">
        <w:rPr>
          <w:rFonts w:ascii="Arial" w:hAnsi="Arial" w:cs="Arial"/>
          <w:bCs/>
        </w:rPr>
        <w:t>A SS can be configured to be within Y consecutive slots within a slot group of X slots; the Y consecutive slots can be located anywhere within the slot group of X slots</w:t>
      </w:r>
    </w:p>
    <w:p w14:paraId="13F049F4" w14:textId="44D7DBC6" w:rsidR="006A2E39" w:rsidRPr="00DD65EF" w:rsidRDefault="006A2E39" w:rsidP="007F786E">
      <w:pPr>
        <w:pStyle w:val="ListParagraph"/>
        <w:numPr>
          <w:ilvl w:val="2"/>
          <w:numId w:val="58"/>
        </w:numPr>
        <w:rPr>
          <w:rFonts w:ascii="Arial" w:hAnsi="Arial" w:cs="Arial"/>
          <w:bCs/>
        </w:rPr>
      </w:pPr>
      <w:r w:rsidRPr="006A2E39">
        <w:rPr>
          <w:rFonts w:ascii="Arial" w:hAnsi="Arial" w:cs="Arial"/>
          <w:bCs/>
        </w:rPr>
        <w:t>The location of the Y consecutive slots within the slot group of X slots is maintained across different slot groups</w:t>
      </w:r>
    </w:p>
    <w:p w14:paraId="27E11A89" w14:textId="2A5DCCFA" w:rsidR="006A2E39" w:rsidRDefault="006A2E39" w:rsidP="00DD65EF">
      <w:pPr>
        <w:pStyle w:val="ListParagraph"/>
        <w:numPr>
          <w:ilvl w:val="0"/>
          <w:numId w:val="5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Option B</w:t>
      </w:r>
      <w:r>
        <w:rPr>
          <w:rFonts w:ascii="Arial" w:hAnsi="Arial" w:cs="Arial"/>
          <w:bCs/>
        </w:rPr>
        <w:tab/>
      </w:r>
    </w:p>
    <w:p w14:paraId="48130307" w14:textId="7EF35254" w:rsidR="006A2E39" w:rsidRDefault="006A2E39" w:rsidP="006A2E39">
      <w:pPr>
        <w:pStyle w:val="ListParagraph"/>
        <w:numPr>
          <w:ilvl w:val="1"/>
          <w:numId w:val="58"/>
        </w:numPr>
        <w:rPr>
          <w:rFonts w:ascii="Arial" w:hAnsi="Arial" w:cs="Arial"/>
          <w:bCs/>
        </w:rPr>
      </w:pPr>
      <w:r w:rsidRPr="006A2E39">
        <w:rPr>
          <w:rFonts w:ascii="Arial" w:hAnsi="Arial" w:cs="Arial"/>
          <w:bCs/>
        </w:rPr>
        <w:t xml:space="preserve">For Group (1) SS, </w:t>
      </w:r>
      <w:r>
        <w:rPr>
          <w:rFonts w:ascii="Arial" w:hAnsi="Arial" w:cs="Arial"/>
          <w:bCs/>
        </w:rPr>
        <w:t>a</w:t>
      </w:r>
      <w:r w:rsidRPr="006A2E39">
        <w:rPr>
          <w:rFonts w:ascii="Arial" w:hAnsi="Arial" w:cs="Arial"/>
          <w:bCs/>
        </w:rPr>
        <w:t xml:space="preserve"> SS can be configured to be within Y consecutive slots within a slot group of X slots</w:t>
      </w:r>
    </w:p>
    <w:p w14:paraId="0EE95710" w14:textId="77777777" w:rsidR="006A2E39" w:rsidRPr="006A2E39" w:rsidRDefault="006A2E39" w:rsidP="006A2E39">
      <w:pPr>
        <w:pStyle w:val="ListParagraph"/>
        <w:numPr>
          <w:ilvl w:val="2"/>
          <w:numId w:val="58"/>
        </w:numPr>
        <w:rPr>
          <w:rFonts w:ascii="Arial" w:hAnsi="Arial" w:cs="Arial"/>
          <w:bCs/>
        </w:rPr>
      </w:pPr>
      <w:r w:rsidRPr="006A2E39">
        <w:rPr>
          <w:rFonts w:ascii="Arial" w:hAnsi="Arial" w:cs="Arial"/>
          <w:bCs/>
        </w:rPr>
        <w:t>The location of the Y consecutive slots can be anywhere within a slot group of X slots</w:t>
      </w:r>
    </w:p>
    <w:p w14:paraId="61775292" w14:textId="567D468C" w:rsidR="006A2E39" w:rsidRPr="006A2E39" w:rsidRDefault="006A2E39" w:rsidP="006A2E39">
      <w:pPr>
        <w:pStyle w:val="ListParagraph"/>
        <w:numPr>
          <w:ilvl w:val="1"/>
          <w:numId w:val="58"/>
        </w:numPr>
        <w:rPr>
          <w:rFonts w:ascii="Arial" w:hAnsi="Arial" w:cs="Arial"/>
          <w:bCs/>
        </w:rPr>
      </w:pPr>
      <w:r w:rsidRPr="006A2E39">
        <w:rPr>
          <w:rFonts w:ascii="Arial" w:hAnsi="Arial" w:cs="Arial"/>
          <w:bCs/>
        </w:rPr>
        <w:t xml:space="preserve">For Group (2) SS, </w:t>
      </w:r>
      <w:r>
        <w:rPr>
          <w:rFonts w:ascii="Arial" w:hAnsi="Arial" w:cs="Arial"/>
          <w:bCs/>
        </w:rPr>
        <w:t>a</w:t>
      </w:r>
      <w:r w:rsidRPr="006A2E39">
        <w:rPr>
          <w:rFonts w:ascii="Arial" w:hAnsi="Arial" w:cs="Arial"/>
          <w:bCs/>
        </w:rPr>
        <w:t xml:space="preserve"> SS can be configured as per Rel-15, and monitoring locations with respect to slot groups are unrestricted</w:t>
      </w:r>
    </w:p>
    <w:p w14:paraId="6B8D59ED" w14:textId="0E98B3B9" w:rsidR="006A2E39" w:rsidRDefault="005B3F4F" w:rsidP="006A2E3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contrast to Option B, in Option A, the location of the Y consecutive slots within the slot group of X slots is maintained across different slot groups regardless of Group (1) SS and Group (2) SS. Main intention of Option A is to avoid back-to-back PDCCH monitoring issue as shown in Figure. 1.</w:t>
      </w:r>
    </w:p>
    <w:p w14:paraId="2145D0B0" w14:textId="1D2292B4" w:rsidR="005B3F4F" w:rsidRDefault="005B3F4F" w:rsidP="007F786E">
      <w:pPr>
        <w:spacing w:after="120"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5B4AB8C1" wp14:editId="61C3F093">
            <wp:extent cx="3609833" cy="1058076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631" cy="1058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01287F" w14:textId="68B1B382" w:rsidR="005B3F4F" w:rsidRDefault="005B3F4F" w:rsidP="005B3F4F">
      <w:pPr>
        <w:spacing w:line="276" w:lineRule="auto"/>
        <w:jc w:val="center"/>
        <w:rPr>
          <w:rFonts w:ascii="Arial" w:hAnsi="Arial" w:cs="Arial"/>
          <w:b/>
          <w:bCs/>
        </w:rPr>
      </w:pPr>
      <w:r w:rsidRPr="00E24999">
        <w:rPr>
          <w:rFonts w:ascii="Arial" w:hAnsi="Arial" w:cs="Arial"/>
          <w:b/>
          <w:bCs/>
        </w:rPr>
        <w:t xml:space="preserve">Figure 1: </w:t>
      </w:r>
      <w:r>
        <w:rPr>
          <w:rFonts w:ascii="Arial" w:hAnsi="Arial" w:cs="Arial"/>
          <w:b/>
          <w:bCs/>
        </w:rPr>
        <w:t>Potential back-to-back monitoring of search spaces</w:t>
      </w:r>
    </w:p>
    <w:p w14:paraId="57A8885E" w14:textId="007E9A3C" w:rsidR="005B3F4F" w:rsidRDefault="005B3F4F" w:rsidP="006A2E3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However, </w:t>
      </w:r>
      <w:r w:rsidR="001D3BD6">
        <w:rPr>
          <w:rFonts w:ascii="Arial" w:hAnsi="Arial" w:cs="Arial"/>
          <w:bCs/>
        </w:rPr>
        <w:t>some companies didn’t see</w:t>
      </w:r>
      <w:r>
        <w:rPr>
          <w:rFonts w:ascii="Arial" w:hAnsi="Arial" w:cs="Arial"/>
          <w:bCs/>
        </w:rPr>
        <w:t xml:space="preserve"> back-to-back monitoring </w:t>
      </w:r>
      <w:r w:rsidR="001D3BD6">
        <w:rPr>
          <w:rFonts w:ascii="Arial" w:hAnsi="Arial" w:cs="Arial"/>
          <w:bCs/>
        </w:rPr>
        <w:t xml:space="preserve">as a serious </w:t>
      </w:r>
      <w:r>
        <w:rPr>
          <w:rFonts w:ascii="Arial" w:hAnsi="Arial" w:cs="Arial"/>
          <w:bCs/>
        </w:rPr>
        <w:t>issue considering relatively large monitoring periodicity of Group (2) SS</w:t>
      </w:r>
      <w:r w:rsidR="0057571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575712">
        <w:rPr>
          <w:rFonts w:ascii="Arial" w:hAnsi="Arial" w:cs="Arial"/>
          <w:bCs/>
        </w:rPr>
        <w:t xml:space="preserve">In addition, Rel-15 UE also supports any symbol locations of a slot group as shown in the below [4]. </w:t>
      </w:r>
    </w:p>
    <w:p w14:paraId="32C85302" w14:textId="77575F49" w:rsidR="00A52E3E" w:rsidRPr="00B94C94" w:rsidRDefault="00A52E3E" w:rsidP="007F786E">
      <w:pPr>
        <w:pStyle w:val="ListParagraph"/>
        <w:numPr>
          <w:ilvl w:val="0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lastRenderedPageBreak/>
        <w:t>For type 1 CSS with dedicated RRC configuration, type 3 CSS, and UE-SS, the monitoring occasion is within the first 3 OFDM symbols of a slot</w:t>
      </w:r>
      <w:r w:rsidR="00424E3C" w:rsidRPr="00B94C94">
        <w:rPr>
          <w:rFonts w:ascii="Arial" w:hAnsi="Arial" w:cs="Arial"/>
          <w:bCs/>
        </w:rPr>
        <w:t>.</w:t>
      </w:r>
    </w:p>
    <w:p w14:paraId="4A254D57" w14:textId="13EF9783" w:rsidR="00A52E3E" w:rsidRDefault="00A52E3E" w:rsidP="00DD65EF">
      <w:pPr>
        <w:pStyle w:val="ListParagraph"/>
        <w:numPr>
          <w:ilvl w:val="0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</w:r>
      <w:r w:rsidR="00424E3C" w:rsidRPr="00B94C94">
        <w:rPr>
          <w:rFonts w:ascii="Arial" w:hAnsi="Arial" w:cs="Arial"/>
          <w:bCs/>
        </w:rPr>
        <w:t>.</w:t>
      </w:r>
    </w:p>
    <w:p w14:paraId="69943A68" w14:textId="745BCF46" w:rsidR="001D3BD6" w:rsidRDefault="001D3BD6" w:rsidP="00DD65EF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a compromise, </w:t>
      </w:r>
      <w:r w:rsidR="00DD65EF">
        <w:rPr>
          <w:rFonts w:ascii="Arial" w:hAnsi="Arial" w:cs="Arial"/>
          <w:bCs/>
        </w:rPr>
        <w:t xml:space="preserve">following search space configuration is provided by the feature lead and agreed as an FFS point.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D65EF" w14:paraId="374EB794" w14:textId="77777777" w:rsidTr="00DD65EF">
        <w:tc>
          <w:tcPr>
            <w:tcW w:w="9962" w:type="dxa"/>
          </w:tcPr>
          <w:p w14:paraId="15818E34" w14:textId="77777777" w:rsidR="00DD65EF" w:rsidRPr="00DD65EF" w:rsidRDefault="00DD65EF" w:rsidP="00DD65EF">
            <w:pPr>
              <w:numPr>
                <w:ilvl w:val="0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Search space configuration</w:t>
            </w:r>
          </w:p>
          <w:p w14:paraId="26392AD9" w14:textId="77777777" w:rsidR="00DD65EF" w:rsidRPr="00DD65EF" w:rsidRDefault="00DD65EF" w:rsidP="00DD65EF">
            <w:pPr>
              <w:numPr>
                <w:ilvl w:val="1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For Group (1) SS</w:t>
            </w:r>
          </w:p>
          <w:p w14:paraId="7A2D8505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A SS is configured to be within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 xml:space="preserve"> consecutive slots within a slot group of X slots</w:t>
            </w:r>
          </w:p>
          <w:p w14:paraId="3F5507E1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The location of the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 xml:space="preserve"> consecutive slots within a slot group of X slots is based on a time offset within the slot group based on slot index n0 determined for Group (2) monitoring such that the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 xml:space="preserve"> slots overlap the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  <w:r w:rsidRPr="00DD65EF">
              <w:rPr>
                <w:rFonts w:ascii="Arial" w:hAnsi="Arial" w:cs="Arial"/>
                <w:bCs/>
              </w:rPr>
              <w:t xml:space="preserve"> slots</w:t>
            </w:r>
          </w:p>
          <w:p w14:paraId="3C1C0E57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The location of the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 xml:space="preserve"> consecutive slots within a slot group of X slots is maintained across different slot groups (unless n0 changes)</w:t>
            </w:r>
          </w:p>
          <w:p w14:paraId="1B5F0403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BD attempts for all Group (1) SSs are restricted to fall within the same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 xml:space="preserve"> consecutive slots</w:t>
            </w:r>
          </w:p>
          <w:p w14:paraId="2729A9DA" w14:textId="77777777" w:rsidR="00DD65EF" w:rsidRPr="00DD65EF" w:rsidRDefault="00DD65EF" w:rsidP="00DD65EF">
            <w:pPr>
              <w:numPr>
                <w:ilvl w:val="1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For Group (2) SS</w:t>
            </w:r>
          </w:p>
          <w:p w14:paraId="0465E3F8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A SS is configured to be within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  <w:r w:rsidRPr="00DD65EF">
              <w:rPr>
                <w:rFonts w:ascii="Arial" w:hAnsi="Arial" w:cs="Arial"/>
                <w:bCs/>
              </w:rPr>
              <w:t xml:space="preserve"> consecutive slots within a slot group of X slots</w:t>
            </w:r>
          </w:p>
          <w:p w14:paraId="53E7576A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The location of the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  <w:r w:rsidRPr="00DD65EF">
              <w:rPr>
                <w:rFonts w:ascii="Arial" w:hAnsi="Arial" w:cs="Arial"/>
                <w:bCs/>
              </w:rPr>
              <w:t xml:space="preserve"> consecutive slots within a slot group of X slots is maintained across different slot groups (unless n0 changes)</w:t>
            </w:r>
          </w:p>
          <w:p w14:paraId="6D1171CB" w14:textId="77777777" w:rsidR="00DD65EF" w:rsidRPr="00DD65EF" w:rsidRDefault="00DD65EF" w:rsidP="00DD65EF">
            <w:pPr>
              <w:numPr>
                <w:ilvl w:val="1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The reported capability indicates the BD/CCE budget within Y=max(Y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>, 2) slots per slot group</w:t>
            </w:r>
          </w:p>
          <w:p w14:paraId="5147755A" w14:textId="77777777" w:rsidR="00DD65EF" w:rsidRPr="00DD65EF" w:rsidRDefault="00DD65EF" w:rsidP="00DD65EF">
            <w:pPr>
              <w:numPr>
                <w:ilvl w:val="1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Support the following values of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 xml:space="preserve"> and 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</w:p>
          <w:p w14:paraId="3D6DDA3B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For X=8: (Y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>,Y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  <w:r w:rsidRPr="00DD65EF">
              <w:rPr>
                <w:rFonts w:ascii="Arial" w:hAnsi="Arial" w:cs="Arial"/>
                <w:bCs/>
              </w:rPr>
              <w:t>) = (4,2), (2,2), (1,[1 or 2])</w:t>
            </w:r>
          </w:p>
          <w:p w14:paraId="3A59EFC9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For X=4: (Y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>,Y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  <w:r w:rsidRPr="00DD65EF">
              <w:rPr>
                <w:rFonts w:ascii="Arial" w:hAnsi="Arial" w:cs="Arial"/>
                <w:bCs/>
              </w:rPr>
              <w:t>) = (2,2), (1,[1 or 2])</w:t>
            </w:r>
          </w:p>
          <w:p w14:paraId="2750D082" w14:textId="77777777" w:rsidR="00DD65EF" w:rsidRPr="00DD65EF" w:rsidRDefault="00DD65EF" w:rsidP="00DD65EF">
            <w:pPr>
              <w:numPr>
                <w:ilvl w:val="2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For X=2: (Y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Group1</w:t>
            </w:r>
            <w:r w:rsidRPr="00DD65EF">
              <w:rPr>
                <w:rFonts w:ascii="Arial" w:hAnsi="Arial" w:cs="Arial"/>
                <w:bCs/>
              </w:rPr>
              <w:t>,Y</w:t>
            </w:r>
            <w:r w:rsidRPr="00DD65EF">
              <w:rPr>
                <w:rFonts w:ascii="Arial" w:hAnsi="Arial" w:cs="Arial"/>
                <w:bCs/>
                <w:vertAlign w:val="subscript"/>
              </w:rPr>
              <w:t>Group2</w:t>
            </w:r>
            <w:r w:rsidRPr="00DD65EF">
              <w:rPr>
                <w:rFonts w:ascii="Arial" w:hAnsi="Arial" w:cs="Arial"/>
                <w:bCs/>
              </w:rPr>
              <w:t>) = (1,[1 or 2])</w:t>
            </w:r>
          </w:p>
          <w:p w14:paraId="625BC093" w14:textId="77777777" w:rsidR="00DD65EF" w:rsidRPr="00DD65EF" w:rsidRDefault="00DD65EF" w:rsidP="00DD65EF">
            <w:pPr>
              <w:numPr>
                <w:ilvl w:val="1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Group (1) SS: Type 1 CSS with dedicated RRC configuration and type 3 CSS, UE specific SS</w:t>
            </w:r>
          </w:p>
          <w:p w14:paraId="175BC985" w14:textId="4B19EFFD" w:rsidR="00DD65EF" w:rsidRPr="00DD65EF" w:rsidRDefault="00DD65EF" w:rsidP="007F786E">
            <w:pPr>
              <w:numPr>
                <w:ilvl w:val="1"/>
                <w:numId w:val="54"/>
              </w:numPr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DD65EF">
              <w:rPr>
                <w:rFonts w:ascii="Arial" w:hAnsi="Arial" w:cs="Arial"/>
                <w:bCs/>
              </w:rPr>
              <w:t>Group (2) SS: Type 1 CSS without dedicated RRC configuration and type 0, 0A, and 2 CSS</w:t>
            </w:r>
          </w:p>
        </w:tc>
      </w:tr>
    </w:tbl>
    <w:p w14:paraId="012BA9D1" w14:textId="1B909C43" w:rsidR="00DD65EF" w:rsidRDefault="00DD65EF" w:rsidP="00DD65EF">
      <w:pPr>
        <w:spacing w:after="120" w:line="276" w:lineRule="auto"/>
        <w:jc w:val="both"/>
        <w:rPr>
          <w:rFonts w:ascii="Arial" w:hAnsi="Arial" w:cs="Arial"/>
          <w:bCs/>
        </w:rPr>
      </w:pPr>
    </w:p>
    <w:p w14:paraId="376DBC58" w14:textId="05EE9DCB" w:rsidR="00797341" w:rsidRDefault="00DD65EF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lastRenderedPageBreak/>
        <w:t>Given the limited time, approval of the FFS point is preferred, however, larger values should be supported for Y</w:t>
      </w:r>
      <w:r w:rsidRPr="007F786E">
        <w:rPr>
          <w:rFonts w:ascii="Arial" w:hAnsi="Arial" w:cs="Arial"/>
          <w:bCs/>
          <w:vertAlign w:val="subscript"/>
        </w:rPr>
        <w:t>Group2</w:t>
      </w:r>
      <w:r>
        <w:rPr>
          <w:rFonts w:ascii="Arial" w:hAnsi="Arial" w:cs="Arial"/>
          <w:bCs/>
        </w:rPr>
        <w:t xml:space="preserve"> to ensure flexibility of Type 1 CSS without dedicated RRC configuration and type 0, 0A and 2 CSS. </w:t>
      </w:r>
    </w:p>
    <w:p w14:paraId="5851D3B8" w14:textId="1F56B04E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 w:rsidR="00DD65EF"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</w:t>
      </w:r>
      <w:r w:rsidR="00DD65EF">
        <w:rPr>
          <w:rFonts w:ascii="Arial" w:hAnsi="Arial" w:cs="Arial"/>
          <w:bCs/>
          <w:i/>
          <w:iCs/>
        </w:rPr>
        <w:t>Approve the FFS point with the following values of Y</w:t>
      </w:r>
      <w:r w:rsidR="00DD65EF" w:rsidRPr="007F786E">
        <w:rPr>
          <w:rFonts w:ascii="Arial" w:hAnsi="Arial" w:cs="Arial"/>
          <w:bCs/>
          <w:i/>
          <w:iCs/>
          <w:vertAlign w:val="subscript"/>
        </w:rPr>
        <w:t>Group1</w:t>
      </w:r>
      <w:r w:rsidR="00DD65EF">
        <w:rPr>
          <w:rFonts w:ascii="Arial" w:hAnsi="Arial" w:cs="Arial"/>
          <w:bCs/>
          <w:i/>
          <w:iCs/>
        </w:rPr>
        <w:t xml:space="preserve"> and Y</w:t>
      </w:r>
      <w:r w:rsidR="00DD65EF" w:rsidRPr="007F786E">
        <w:rPr>
          <w:rFonts w:ascii="Arial" w:hAnsi="Arial" w:cs="Arial"/>
          <w:bCs/>
          <w:i/>
          <w:iCs/>
          <w:vertAlign w:val="subscript"/>
        </w:rPr>
        <w:t>Group2</w:t>
      </w:r>
      <w:r w:rsidR="00DD65EF">
        <w:rPr>
          <w:rFonts w:ascii="Arial" w:hAnsi="Arial" w:cs="Arial"/>
          <w:bCs/>
          <w:i/>
          <w:iCs/>
        </w:rPr>
        <w:t>:</w:t>
      </w:r>
    </w:p>
    <w:p w14:paraId="39239695" w14:textId="38BA41A0" w:rsidR="00DD65EF" w:rsidRPr="007F786E" w:rsidRDefault="00DD65EF" w:rsidP="007F786E">
      <w:pPr>
        <w:numPr>
          <w:ilvl w:val="0"/>
          <w:numId w:val="54"/>
        </w:num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7F786E">
        <w:rPr>
          <w:rFonts w:ascii="Arial" w:hAnsi="Arial" w:cs="Arial"/>
          <w:bCs/>
          <w:i/>
          <w:iCs/>
        </w:rPr>
        <w:t>For X=8: (Y</w:t>
      </w:r>
      <w:r w:rsidRPr="007F786E">
        <w:rPr>
          <w:rFonts w:ascii="Arial" w:hAnsi="Arial" w:cs="Arial"/>
          <w:bCs/>
          <w:i/>
          <w:iCs/>
          <w:vertAlign w:val="subscript"/>
        </w:rPr>
        <w:t>Group1</w:t>
      </w:r>
      <w:r w:rsidRPr="007F786E">
        <w:rPr>
          <w:rFonts w:ascii="Arial" w:hAnsi="Arial" w:cs="Arial"/>
          <w:bCs/>
          <w:i/>
          <w:iCs/>
        </w:rPr>
        <w:t>,Y</w:t>
      </w:r>
      <w:r w:rsidRPr="007F786E">
        <w:rPr>
          <w:rFonts w:ascii="Arial" w:hAnsi="Arial" w:cs="Arial"/>
          <w:bCs/>
          <w:i/>
          <w:iCs/>
          <w:vertAlign w:val="subscript"/>
        </w:rPr>
        <w:t>Group2</w:t>
      </w:r>
      <w:r w:rsidRPr="007F786E">
        <w:rPr>
          <w:rFonts w:ascii="Arial" w:hAnsi="Arial" w:cs="Arial"/>
          <w:bCs/>
          <w:i/>
          <w:iCs/>
        </w:rPr>
        <w:t xml:space="preserve">) = (4,2), (2,2), (1, </w:t>
      </w:r>
      <w:r w:rsidRPr="007F786E">
        <w:rPr>
          <w:rFonts w:ascii="Arial" w:hAnsi="Arial" w:cs="Arial"/>
          <w:bCs/>
          <w:i/>
          <w:iCs/>
          <w:highlight w:val="yellow"/>
        </w:rPr>
        <w:t>2</w:t>
      </w:r>
      <w:r w:rsidRPr="007F786E">
        <w:rPr>
          <w:rFonts w:ascii="Arial" w:hAnsi="Arial" w:cs="Arial"/>
          <w:bCs/>
          <w:i/>
          <w:iCs/>
        </w:rPr>
        <w:t>)</w:t>
      </w:r>
    </w:p>
    <w:p w14:paraId="25549A96" w14:textId="25DB9450" w:rsidR="00DD65EF" w:rsidRPr="007F786E" w:rsidRDefault="00DD65EF" w:rsidP="007F786E">
      <w:pPr>
        <w:numPr>
          <w:ilvl w:val="0"/>
          <w:numId w:val="54"/>
        </w:num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7F786E">
        <w:rPr>
          <w:rFonts w:ascii="Arial" w:hAnsi="Arial" w:cs="Arial"/>
          <w:bCs/>
          <w:i/>
          <w:iCs/>
        </w:rPr>
        <w:t>For X=4: (Y</w:t>
      </w:r>
      <w:r w:rsidRPr="007F786E">
        <w:rPr>
          <w:rFonts w:ascii="Arial" w:hAnsi="Arial" w:cs="Arial"/>
          <w:bCs/>
          <w:i/>
          <w:iCs/>
          <w:vertAlign w:val="subscript"/>
        </w:rPr>
        <w:t>Group1</w:t>
      </w:r>
      <w:r w:rsidRPr="007F786E">
        <w:rPr>
          <w:rFonts w:ascii="Arial" w:hAnsi="Arial" w:cs="Arial"/>
          <w:bCs/>
          <w:i/>
          <w:iCs/>
        </w:rPr>
        <w:t>,Y</w:t>
      </w:r>
      <w:r w:rsidRPr="007F786E">
        <w:rPr>
          <w:rFonts w:ascii="Arial" w:hAnsi="Arial" w:cs="Arial"/>
          <w:bCs/>
          <w:i/>
          <w:iCs/>
          <w:vertAlign w:val="subscript"/>
        </w:rPr>
        <w:t>Group2</w:t>
      </w:r>
      <w:r w:rsidRPr="007F786E">
        <w:rPr>
          <w:rFonts w:ascii="Arial" w:hAnsi="Arial" w:cs="Arial"/>
          <w:bCs/>
          <w:i/>
          <w:iCs/>
        </w:rPr>
        <w:t xml:space="preserve">) = (2,2), (1, </w:t>
      </w:r>
      <w:r w:rsidRPr="007F786E">
        <w:rPr>
          <w:rFonts w:ascii="Arial" w:hAnsi="Arial" w:cs="Arial"/>
          <w:bCs/>
          <w:i/>
          <w:iCs/>
          <w:highlight w:val="yellow"/>
        </w:rPr>
        <w:t>2</w:t>
      </w:r>
      <w:r w:rsidRPr="007F786E">
        <w:rPr>
          <w:rFonts w:ascii="Arial" w:hAnsi="Arial" w:cs="Arial"/>
          <w:bCs/>
          <w:i/>
          <w:iCs/>
        </w:rPr>
        <w:t>)</w:t>
      </w:r>
    </w:p>
    <w:p w14:paraId="39BB38C5" w14:textId="07E3ACE3" w:rsidR="00DD65EF" w:rsidRPr="007F786E" w:rsidRDefault="00DD65EF" w:rsidP="007F786E">
      <w:pPr>
        <w:numPr>
          <w:ilvl w:val="0"/>
          <w:numId w:val="54"/>
        </w:num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7F786E">
        <w:rPr>
          <w:rFonts w:ascii="Arial" w:hAnsi="Arial" w:cs="Arial"/>
          <w:bCs/>
          <w:i/>
          <w:iCs/>
        </w:rPr>
        <w:t>For X=2: (Y</w:t>
      </w:r>
      <w:r w:rsidRPr="007F786E">
        <w:rPr>
          <w:rFonts w:ascii="Arial" w:hAnsi="Arial" w:cs="Arial"/>
          <w:bCs/>
          <w:i/>
          <w:iCs/>
          <w:vertAlign w:val="subscript"/>
        </w:rPr>
        <w:t>Group1</w:t>
      </w:r>
      <w:r w:rsidRPr="007F786E">
        <w:rPr>
          <w:rFonts w:ascii="Arial" w:hAnsi="Arial" w:cs="Arial"/>
          <w:bCs/>
          <w:i/>
          <w:iCs/>
        </w:rPr>
        <w:t>,Y</w:t>
      </w:r>
      <w:r w:rsidRPr="007F786E">
        <w:rPr>
          <w:rFonts w:ascii="Arial" w:hAnsi="Arial" w:cs="Arial"/>
          <w:bCs/>
          <w:i/>
          <w:iCs/>
          <w:vertAlign w:val="subscript"/>
        </w:rPr>
        <w:t>Group2</w:t>
      </w:r>
      <w:r w:rsidRPr="007F786E">
        <w:rPr>
          <w:rFonts w:ascii="Arial" w:hAnsi="Arial" w:cs="Arial"/>
          <w:bCs/>
          <w:i/>
          <w:iCs/>
        </w:rPr>
        <w:t xml:space="preserve">) = (1, </w:t>
      </w:r>
      <w:r w:rsidRPr="007F786E">
        <w:rPr>
          <w:rFonts w:ascii="Arial" w:hAnsi="Arial" w:cs="Arial"/>
          <w:bCs/>
          <w:i/>
          <w:iCs/>
          <w:highlight w:val="yellow"/>
        </w:rPr>
        <w:t>2</w:t>
      </w:r>
      <w:r w:rsidRPr="007F786E">
        <w:rPr>
          <w:rFonts w:ascii="Arial" w:hAnsi="Arial" w:cs="Arial"/>
          <w:bCs/>
          <w:i/>
          <w:iCs/>
        </w:rPr>
        <w:t>)</w:t>
      </w:r>
      <w:r>
        <w:rPr>
          <w:rFonts w:ascii="Arial" w:hAnsi="Arial" w:cs="Arial"/>
          <w:bCs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6A0386D8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issues </w:t>
      </w:r>
      <w:r w:rsidR="00A4353A">
        <w:rPr>
          <w:rFonts w:ascii="Arial" w:hAnsi="Arial" w:cs="Arial"/>
        </w:rPr>
        <w:t>for</w:t>
      </w:r>
      <w:r w:rsidR="00B22CAE" w:rsidRPr="003E37E3">
        <w:rPr>
          <w:rFonts w:ascii="Arial" w:hAnsi="Arial" w:cs="Arial"/>
        </w:rPr>
        <w:t xml:space="preserve"> </w:t>
      </w:r>
      <w:r w:rsidR="00A13DE4">
        <w:rPr>
          <w:rFonts w:ascii="Arial" w:hAnsi="Arial" w:cs="Arial"/>
        </w:rPr>
        <w:t>PDCCH monitoring</w:t>
      </w:r>
      <w:r w:rsidR="00B22CAE" w:rsidRPr="003E37E3">
        <w:rPr>
          <w:rFonts w:ascii="Arial" w:hAnsi="Arial" w:cs="Arial"/>
        </w:rPr>
        <w:t xml:space="preserve"> </w:t>
      </w:r>
      <w:r w:rsidR="00A4353A">
        <w:rPr>
          <w:rFonts w:ascii="Arial" w:hAnsi="Arial" w:cs="Arial"/>
        </w:rPr>
        <w:t>enhancements of NR in 52.6</w:t>
      </w:r>
      <w:r w:rsidR="00A4353A">
        <w:rPr>
          <w:rFonts w:ascii="Arial" w:hAnsi="Arial" w:cs="Arial"/>
          <w:bCs/>
          <w:i/>
          <w:iCs/>
        </w:rPr>
        <w:t xml:space="preserve"> – </w:t>
      </w:r>
      <w:r w:rsidR="00B22CAE" w:rsidRPr="003E37E3">
        <w:rPr>
          <w:rFonts w:ascii="Arial" w:hAnsi="Arial" w:cs="Arial"/>
        </w:rPr>
        <w:t>71 GHz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DD65EF">
        <w:rPr>
          <w:rFonts w:ascii="Arial" w:hAnsi="Arial" w:cs="Arial"/>
        </w:rPr>
        <w:t xml:space="preserve">a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proposal</w:t>
      </w:r>
      <w:r w:rsidR="00592AB0" w:rsidRPr="00983ACF">
        <w:rPr>
          <w:rFonts w:ascii="Arial" w:hAnsi="Arial" w:cs="Arial"/>
        </w:rPr>
        <w:t xml:space="preserve">: </w:t>
      </w:r>
    </w:p>
    <w:p w14:paraId="4FE421BC" w14:textId="77777777" w:rsidR="00DD65EF" w:rsidRDefault="00DD65EF" w:rsidP="00DD65EF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Approve the FFS point with the following values of Y</w:t>
      </w:r>
      <w:r w:rsidRPr="002E4530">
        <w:rPr>
          <w:rFonts w:ascii="Arial" w:hAnsi="Arial" w:cs="Arial"/>
          <w:bCs/>
          <w:i/>
          <w:iCs/>
          <w:vertAlign w:val="subscript"/>
        </w:rPr>
        <w:t>Group1</w:t>
      </w:r>
      <w:r>
        <w:rPr>
          <w:rFonts w:ascii="Arial" w:hAnsi="Arial" w:cs="Arial"/>
          <w:bCs/>
          <w:i/>
          <w:iCs/>
        </w:rPr>
        <w:t xml:space="preserve"> and Y</w:t>
      </w:r>
      <w:r w:rsidRPr="002E4530">
        <w:rPr>
          <w:rFonts w:ascii="Arial" w:hAnsi="Arial" w:cs="Arial"/>
          <w:bCs/>
          <w:i/>
          <w:iCs/>
          <w:vertAlign w:val="subscript"/>
        </w:rPr>
        <w:t>Group2</w:t>
      </w:r>
      <w:r>
        <w:rPr>
          <w:rFonts w:ascii="Arial" w:hAnsi="Arial" w:cs="Arial"/>
          <w:bCs/>
          <w:i/>
          <w:iCs/>
        </w:rPr>
        <w:t>:</w:t>
      </w:r>
    </w:p>
    <w:p w14:paraId="7DEF1B56" w14:textId="77777777" w:rsidR="00DD65EF" w:rsidRPr="002E4530" w:rsidRDefault="00DD65EF" w:rsidP="00DD65EF">
      <w:pPr>
        <w:numPr>
          <w:ilvl w:val="0"/>
          <w:numId w:val="54"/>
        </w:num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2E4530">
        <w:rPr>
          <w:rFonts w:ascii="Arial" w:hAnsi="Arial" w:cs="Arial"/>
          <w:bCs/>
          <w:i/>
          <w:iCs/>
        </w:rPr>
        <w:t>For X=8: (Y</w:t>
      </w:r>
      <w:r w:rsidRPr="002E4530">
        <w:rPr>
          <w:rFonts w:ascii="Arial" w:hAnsi="Arial" w:cs="Arial"/>
          <w:bCs/>
          <w:i/>
          <w:iCs/>
          <w:vertAlign w:val="subscript"/>
        </w:rPr>
        <w:t>Group1</w:t>
      </w:r>
      <w:r w:rsidRPr="002E4530">
        <w:rPr>
          <w:rFonts w:ascii="Arial" w:hAnsi="Arial" w:cs="Arial"/>
          <w:bCs/>
          <w:i/>
          <w:iCs/>
        </w:rPr>
        <w:t>,Y</w:t>
      </w:r>
      <w:r w:rsidRPr="002E4530">
        <w:rPr>
          <w:rFonts w:ascii="Arial" w:hAnsi="Arial" w:cs="Arial"/>
          <w:bCs/>
          <w:i/>
          <w:iCs/>
          <w:vertAlign w:val="subscript"/>
        </w:rPr>
        <w:t>Group2</w:t>
      </w:r>
      <w:r w:rsidRPr="002E4530">
        <w:rPr>
          <w:rFonts w:ascii="Arial" w:hAnsi="Arial" w:cs="Arial"/>
          <w:bCs/>
          <w:i/>
          <w:iCs/>
        </w:rPr>
        <w:t xml:space="preserve">) = (4,2), (2,2), (1, </w:t>
      </w:r>
      <w:r w:rsidRPr="002E4530">
        <w:rPr>
          <w:rFonts w:ascii="Arial" w:hAnsi="Arial" w:cs="Arial"/>
          <w:bCs/>
          <w:i/>
          <w:iCs/>
          <w:highlight w:val="yellow"/>
        </w:rPr>
        <w:t>2</w:t>
      </w:r>
      <w:r w:rsidRPr="002E4530">
        <w:rPr>
          <w:rFonts w:ascii="Arial" w:hAnsi="Arial" w:cs="Arial"/>
          <w:bCs/>
          <w:i/>
          <w:iCs/>
        </w:rPr>
        <w:t>)</w:t>
      </w:r>
    </w:p>
    <w:p w14:paraId="58F89D9D" w14:textId="77777777" w:rsidR="00DD65EF" w:rsidRPr="002E4530" w:rsidRDefault="00DD65EF" w:rsidP="00DD65EF">
      <w:pPr>
        <w:numPr>
          <w:ilvl w:val="0"/>
          <w:numId w:val="54"/>
        </w:num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2E4530">
        <w:rPr>
          <w:rFonts w:ascii="Arial" w:hAnsi="Arial" w:cs="Arial"/>
          <w:bCs/>
          <w:i/>
          <w:iCs/>
        </w:rPr>
        <w:t>For X=4: (Y</w:t>
      </w:r>
      <w:r w:rsidRPr="002E4530">
        <w:rPr>
          <w:rFonts w:ascii="Arial" w:hAnsi="Arial" w:cs="Arial"/>
          <w:bCs/>
          <w:i/>
          <w:iCs/>
          <w:vertAlign w:val="subscript"/>
        </w:rPr>
        <w:t>Group1</w:t>
      </w:r>
      <w:r w:rsidRPr="002E4530">
        <w:rPr>
          <w:rFonts w:ascii="Arial" w:hAnsi="Arial" w:cs="Arial"/>
          <w:bCs/>
          <w:i/>
          <w:iCs/>
        </w:rPr>
        <w:t>,Y</w:t>
      </w:r>
      <w:r w:rsidRPr="002E4530">
        <w:rPr>
          <w:rFonts w:ascii="Arial" w:hAnsi="Arial" w:cs="Arial"/>
          <w:bCs/>
          <w:i/>
          <w:iCs/>
          <w:vertAlign w:val="subscript"/>
        </w:rPr>
        <w:t>Group2</w:t>
      </w:r>
      <w:r w:rsidRPr="002E4530">
        <w:rPr>
          <w:rFonts w:ascii="Arial" w:hAnsi="Arial" w:cs="Arial"/>
          <w:bCs/>
          <w:i/>
          <w:iCs/>
        </w:rPr>
        <w:t xml:space="preserve">) = (2,2), (1, </w:t>
      </w:r>
      <w:r w:rsidRPr="002E4530">
        <w:rPr>
          <w:rFonts w:ascii="Arial" w:hAnsi="Arial" w:cs="Arial"/>
          <w:bCs/>
          <w:i/>
          <w:iCs/>
          <w:highlight w:val="yellow"/>
        </w:rPr>
        <w:t>2</w:t>
      </w:r>
      <w:r w:rsidRPr="002E4530">
        <w:rPr>
          <w:rFonts w:ascii="Arial" w:hAnsi="Arial" w:cs="Arial"/>
          <w:bCs/>
          <w:i/>
          <w:iCs/>
        </w:rPr>
        <w:t>)</w:t>
      </w:r>
    </w:p>
    <w:p w14:paraId="54C3751D" w14:textId="2E40D2CC" w:rsidR="00DD65EF" w:rsidRPr="002E4530" w:rsidRDefault="00DD65EF" w:rsidP="00DD65EF">
      <w:pPr>
        <w:numPr>
          <w:ilvl w:val="0"/>
          <w:numId w:val="54"/>
        </w:num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2E4530">
        <w:rPr>
          <w:rFonts w:ascii="Arial" w:hAnsi="Arial" w:cs="Arial"/>
          <w:bCs/>
          <w:i/>
          <w:iCs/>
        </w:rPr>
        <w:t>For X=2: (Y</w:t>
      </w:r>
      <w:r w:rsidRPr="002E4530">
        <w:rPr>
          <w:rFonts w:ascii="Arial" w:hAnsi="Arial" w:cs="Arial"/>
          <w:bCs/>
          <w:i/>
          <w:iCs/>
          <w:vertAlign w:val="subscript"/>
        </w:rPr>
        <w:t>Group1</w:t>
      </w:r>
      <w:r w:rsidRPr="002E4530">
        <w:rPr>
          <w:rFonts w:ascii="Arial" w:hAnsi="Arial" w:cs="Arial"/>
          <w:bCs/>
          <w:i/>
          <w:iCs/>
        </w:rPr>
        <w:t>,Y</w:t>
      </w:r>
      <w:r w:rsidRPr="002E4530">
        <w:rPr>
          <w:rFonts w:ascii="Arial" w:hAnsi="Arial" w:cs="Arial"/>
          <w:bCs/>
          <w:i/>
          <w:iCs/>
          <w:vertAlign w:val="subscript"/>
        </w:rPr>
        <w:t>Group2</w:t>
      </w:r>
      <w:r w:rsidRPr="002E4530">
        <w:rPr>
          <w:rFonts w:ascii="Arial" w:hAnsi="Arial" w:cs="Arial"/>
          <w:bCs/>
          <w:i/>
          <w:iCs/>
        </w:rPr>
        <w:t xml:space="preserve">) = (1, </w:t>
      </w:r>
      <w:r w:rsidRPr="002E4530">
        <w:rPr>
          <w:rFonts w:ascii="Arial" w:hAnsi="Arial" w:cs="Arial"/>
          <w:bCs/>
          <w:i/>
          <w:iCs/>
          <w:highlight w:val="yellow"/>
        </w:rPr>
        <w:t>2</w:t>
      </w:r>
      <w:r w:rsidRPr="002E4530">
        <w:rPr>
          <w:rFonts w:ascii="Arial" w:hAnsi="Arial" w:cs="Arial"/>
          <w:bCs/>
          <w:i/>
          <w:iCs/>
        </w:rPr>
        <w:t>)</w:t>
      </w:r>
      <w:r>
        <w:rPr>
          <w:rFonts w:ascii="Arial" w:hAnsi="Arial" w:cs="Arial"/>
          <w:bCs/>
          <w:i/>
          <w:iCs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5C95E2AA" w14:textId="72F6A70A" w:rsidR="00057315" w:rsidRPr="007E3DAE" w:rsidRDefault="00057315" w:rsidP="00057315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6" w:name="_Ref521518965"/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#10</w:t>
      </w:r>
      <w:r>
        <w:rPr>
          <w:rFonts w:ascii="Arial" w:eastAsia="SimSun" w:hAnsi="Arial" w:cs="Arial"/>
          <w:color w:val="000000"/>
          <w:lang w:eastAsia="en-US"/>
        </w:rPr>
        <w:t>6</w:t>
      </w:r>
      <w:r w:rsidR="00401BB0">
        <w:rPr>
          <w:rFonts w:ascii="Arial" w:eastAsia="SimSun" w:hAnsi="Arial" w:cs="Arial"/>
          <w:color w:val="000000"/>
          <w:lang w:eastAsia="en-US"/>
        </w:rPr>
        <w:t>bis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#10</w:t>
      </w:r>
      <w:r>
        <w:rPr>
          <w:rFonts w:ascii="Arial" w:eastAsia="SimSun" w:hAnsi="Arial" w:cs="Arial"/>
          <w:color w:val="000000"/>
          <w:lang w:eastAsia="en-US"/>
        </w:rPr>
        <w:t>6</w:t>
      </w:r>
      <w:r w:rsidR="00401BB0">
        <w:rPr>
          <w:rFonts w:ascii="Arial" w:eastAsia="SimSun" w:hAnsi="Arial" w:cs="Arial"/>
          <w:color w:val="000000"/>
          <w:lang w:eastAsia="en-US"/>
        </w:rPr>
        <w:t>bis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</w:t>
      </w:r>
      <w:r w:rsidRPr="00B360D6">
        <w:rPr>
          <w:rFonts w:ascii="Arial" w:eastAsia="SimSun" w:hAnsi="Arial" w:cs="Arial"/>
          <w:color w:val="000000"/>
          <w:lang w:eastAsia="en-US"/>
        </w:rPr>
        <w:t xml:space="preserve">e-Meeting, </w:t>
      </w:r>
      <w:r w:rsidR="00401BB0">
        <w:rPr>
          <w:rFonts w:ascii="Arial" w:eastAsia="SimSun" w:hAnsi="Arial" w:cs="Arial"/>
          <w:color w:val="000000"/>
          <w:lang w:eastAsia="en-US"/>
        </w:rPr>
        <w:t>October</w:t>
      </w:r>
      <w:r w:rsidR="00401BB0" w:rsidRPr="00B360D6">
        <w:rPr>
          <w:rFonts w:ascii="Arial" w:eastAsia="SimSun" w:hAnsi="Arial" w:cs="Arial"/>
          <w:color w:val="000000"/>
          <w:lang w:eastAsia="en-US"/>
        </w:rPr>
        <w:t xml:space="preserve"> </w:t>
      </w:r>
      <w:r w:rsidRPr="00B360D6">
        <w:rPr>
          <w:rFonts w:ascii="Arial" w:eastAsia="SimSun" w:hAnsi="Arial" w:cs="Arial"/>
          <w:color w:val="000000"/>
          <w:lang w:eastAsia="en-US"/>
        </w:rPr>
        <w:t>1</w:t>
      </w:r>
      <w:r w:rsidR="00401BB0">
        <w:rPr>
          <w:rFonts w:ascii="Arial" w:eastAsia="SimSun" w:hAnsi="Arial" w:cs="Arial"/>
          <w:color w:val="000000"/>
          <w:lang w:eastAsia="en-US"/>
        </w:rPr>
        <w:t>1</w:t>
      </w:r>
      <w:r w:rsidRPr="00057315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>
        <w:rPr>
          <w:rFonts w:ascii="Arial" w:eastAsia="SimSun" w:hAnsi="Arial" w:cs="Arial"/>
          <w:color w:val="000000"/>
          <w:lang w:eastAsia="en-US"/>
        </w:rPr>
        <w:t xml:space="preserve"> </w:t>
      </w:r>
      <w:r w:rsidRPr="00B360D6">
        <w:rPr>
          <w:rFonts w:ascii="Arial" w:eastAsia="SimSun" w:hAnsi="Arial" w:cs="Arial"/>
          <w:color w:val="000000"/>
          <w:lang w:eastAsia="en-US"/>
        </w:rPr>
        <w:t xml:space="preserve">– </w:t>
      </w:r>
      <w:r w:rsidR="00401BB0">
        <w:rPr>
          <w:rFonts w:ascii="Arial" w:eastAsia="SimSun" w:hAnsi="Arial" w:cs="Arial"/>
          <w:color w:val="000000"/>
          <w:lang w:eastAsia="en-US"/>
        </w:rPr>
        <w:t>19</w:t>
      </w:r>
      <w:r w:rsidR="00401BB0" w:rsidRPr="00057315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B360D6">
        <w:rPr>
          <w:rFonts w:ascii="Arial" w:eastAsia="SimSun" w:hAnsi="Arial" w:cs="Arial"/>
          <w:color w:val="000000"/>
          <w:lang w:eastAsia="en-US"/>
        </w:rPr>
        <w:t>, 2021</w:t>
      </w:r>
      <w:r>
        <w:rPr>
          <w:rFonts w:ascii="Arial" w:eastAsia="SimSun" w:hAnsi="Arial" w:cs="Arial"/>
          <w:color w:val="000000"/>
          <w:lang w:eastAsia="en-US"/>
        </w:rPr>
        <w:t>,</w:t>
      </w:r>
    </w:p>
    <w:p w14:paraId="400C6181" w14:textId="31C2CBBE" w:rsidR="00163644" w:rsidRPr="00372577" w:rsidRDefault="007528CF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5C7372">
        <w:rPr>
          <w:rFonts w:ascii="Arial" w:hAnsi="Arial" w:cs="Arial"/>
          <w:sz w:val="22"/>
          <w:szCs w:val="22"/>
        </w:rPr>
        <w:t>3GPP TR 38.807 (v16.0.0): “Study on requirements for NR beyond 52.6 GHz (Release 16)”</w:t>
      </w:r>
      <w:bookmarkEnd w:id="6"/>
      <w:r w:rsidR="00D57947">
        <w:rPr>
          <w:rFonts w:ascii="Arial" w:hAnsi="Arial" w:cs="Arial"/>
          <w:sz w:val="22"/>
          <w:szCs w:val="22"/>
        </w:rPr>
        <w:t>,</w:t>
      </w:r>
    </w:p>
    <w:p w14:paraId="42F20681" w14:textId="190F0128" w:rsidR="003114AF" w:rsidRDefault="00472A89" w:rsidP="00A13DE4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5C7372">
        <w:rPr>
          <w:rFonts w:ascii="Arial" w:hAnsi="Arial" w:cs="Arial"/>
          <w:sz w:val="22"/>
          <w:szCs w:val="22"/>
        </w:rPr>
        <w:t>3GPP TS 38.213 (v16.4.0), “Physical layer procedures for control (Release 16)”</w:t>
      </w:r>
      <w:r w:rsidR="00D57947">
        <w:rPr>
          <w:rFonts w:ascii="Arial" w:hAnsi="Arial" w:cs="Arial"/>
          <w:sz w:val="22"/>
          <w:szCs w:val="22"/>
        </w:rPr>
        <w:t>,</w:t>
      </w:r>
    </w:p>
    <w:p w14:paraId="50AB4CBC" w14:textId="795E5FA9" w:rsidR="00F91548" w:rsidRPr="005C7372" w:rsidRDefault="003114AF" w:rsidP="00A13DE4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 38.822 (v16.</w:t>
      </w:r>
      <w:r w:rsidR="00325067">
        <w:rPr>
          <w:rFonts w:ascii="Arial" w:hAnsi="Arial" w:cs="Arial"/>
          <w:sz w:val="22"/>
          <w:szCs w:val="22"/>
        </w:rPr>
        <w:t>0</w:t>
      </w:r>
      <w:r w:rsidR="005F3E69" w:rsidRPr="005C7372">
        <w:rPr>
          <w:rFonts w:ascii="Arial" w:hAnsi="Arial" w:cs="Arial"/>
          <w:sz w:val="22"/>
          <w:szCs w:val="22"/>
        </w:rPr>
        <w:t>.</w:t>
      </w:r>
      <w:r w:rsidR="00325067">
        <w:rPr>
          <w:rFonts w:ascii="Arial" w:hAnsi="Arial" w:cs="Arial"/>
          <w:sz w:val="22"/>
          <w:szCs w:val="22"/>
        </w:rPr>
        <w:t>0), “</w:t>
      </w:r>
      <w:r w:rsidR="00325067" w:rsidRPr="00325067">
        <w:rPr>
          <w:rFonts w:ascii="Arial" w:hAnsi="Arial" w:cs="Arial"/>
          <w:sz w:val="22"/>
          <w:szCs w:val="22"/>
        </w:rPr>
        <w:t>User Equipment (UE) feature list</w:t>
      </w:r>
      <w:r w:rsidR="00325067">
        <w:rPr>
          <w:rFonts w:ascii="Arial" w:hAnsi="Arial" w:cs="Arial"/>
          <w:sz w:val="22"/>
          <w:szCs w:val="22"/>
        </w:rPr>
        <w:t xml:space="preserve"> (Release 16)”.</w:t>
      </w:r>
    </w:p>
    <w:p w14:paraId="5317BDDB" w14:textId="570522D8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67856" w14:textId="77777777" w:rsidR="001F17C2" w:rsidRDefault="001F17C2">
      <w:r>
        <w:separator/>
      </w:r>
    </w:p>
  </w:endnote>
  <w:endnote w:type="continuationSeparator" w:id="0">
    <w:p w14:paraId="5CD7A246" w14:textId="77777777" w:rsidR="001F17C2" w:rsidRDefault="001F17C2">
      <w:r>
        <w:continuationSeparator/>
      </w:r>
    </w:p>
  </w:endnote>
  <w:endnote w:type="continuationNotice" w:id="1">
    <w:p w14:paraId="61E21907" w14:textId="77777777" w:rsidR="001F17C2" w:rsidRDefault="001F17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A1713" w14:textId="77777777" w:rsidR="001F17C2" w:rsidRDefault="001F17C2">
      <w:r>
        <w:separator/>
      </w:r>
    </w:p>
  </w:footnote>
  <w:footnote w:type="continuationSeparator" w:id="0">
    <w:p w14:paraId="290B8955" w14:textId="77777777" w:rsidR="001F17C2" w:rsidRDefault="001F17C2">
      <w:r>
        <w:continuationSeparator/>
      </w:r>
    </w:p>
  </w:footnote>
  <w:footnote w:type="continuationNotice" w:id="1">
    <w:p w14:paraId="309BA52E" w14:textId="77777777" w:rsidR="001F17C2" w:rsidRDefault="001F17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3FF"/>
    <w:multiLevelType w:val="hybridMultilevel"/>
    <w:tmpl w:val="BD7E14F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D2FC7"/>
    <w:multiLevelType w:val="multilevel"/>
    <w:tmpl w:val="102D2FC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B834F91"/>
    <w:multiLevelType w:val="hybridMultilevel"/>
    <w:tmpl w:val="73F2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A192E"/>
    <w:multiLevelType w:val="hybridMultilevel"/>
    <w:tmpl w:val="723A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443E78"/>
    <w:multiLevelType w:val="hybridMultilevel"/>
    <w:tmpl w:val="7C5A1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24"/>
  </w:num>
  <w:num w:numId="4">
    <w:abstractNumId w:val="25"/>
  </w:num>
  <w:num w:numId="5">
    <w:abstractNumId w:val="17"/>
  </w:num>
  <w:num w:numId="6">
    <w:abstractNumId w:val="26"/>
  </w:num>
  <w:num w:numId="7">
    <w:abstractNumId w:val="36"/>
  </w:num>
  <w:num w:numId="8">
    <w:abstractNumId w:val="18"/>
  </w:num>
  <w:num w:numId="9">
    <w:abstractNumId w:val="48"/>
  </w:num>
  <w:num w:numId="10">
    <w:abstractNumId w:val="22"/>
  </w:num>
  <w:num w:numId="11">
    <w:abstractNumId w:val="40"/>
  </w:num>
  <w:num w:numId="12">
    <w:abstractNumId w:val="33"/>
  </w:num>
  <w:num w:numId="13">
    <w:abstractNumId w:val="50"/>
  </w:num>
  <w:num w:numId="14">
    <w:abstractNumId w:val="20"/>
  </w:num>
  <w:num w:numId="15">
    <w:abstractNumId w:val="15"/>
  </w:num>
  <w:num w:numId="16">
    <w:abstractNumId w:val="46"/>
  </w:num>
  <w:num w:numId="17">
    <w:abstractNumId w:val="13"/>
  </w:num>
  <w:num w:numId="18">
    <w:abstractNumId w:val="41"/>
  </w:num>
  <w:num w:numId="19">
    <w:abstractNumId w:val="8"/>
  </w:num>
  <w:num w:numId="20">
    <w:abstractNumId w:val="35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9"/>
  </w:num>
  <w:num w:numId="28">
    <w:abstractNumId w:val="31"/>
  </w:num>
  <w:num w:numId="29">
    <w:abstractNumId w:val="43"/>
  </w:num>
  <w:num w:numId="30">
    <w:abstractNumId w:val="37"/>
  </w:num>
  <w:num w:numId="31">
    <w:abstractNumId w:val="6"/>
  </w:num>
  <w:num w:numId="32">
    <w:abstractNumId w:val="4"/>
  </w:num>
  <w:num w:numId="33">
    <w:abstractNumId w:val="10"/>
  </w:num>
  <w:num w:numId="34">
    <w:abstractNumId w:val="5"/>
  </w:num>
  <w:num w:numId="35">
    <w:abstractNumId w:val="21"/>
  </w:num>
  <w:num w:numId="36">
    <w:abstractNumId w:val="38"/>
  </w:num>
  <w:num w:numId="37">
    <w:abstractNumId w:val="45"/>
  </w:num>
  <w:num w:numId="38">
    <w:abstractNumId w:val="28"/>
  </w:num>
  <w:num w:numId="39">
    <w:abstractNumId w:val="34"/>
  </w:num>
  <w:num w:numId="40">
    <w:abstractNumId w:val="27"/>
  </w:num>
  <w:num w:numId="41">
    <w:abstractNumId w:val="1"/>
  </w:num>
  <w:num w:numId="42">
    <w:abstractNumId w:val="23"/>
  </w:num>
  <w:num w:numId="43">
    <w:abstractNumId w:val="2"/>
  </w:num>
  <w:num w:numId="44">
    <w:abstractNumId w:val="2"/>
  </w:num>
  <w:num w:numId="45">
    <w:abstractNumId w:val="32"/>
  </w:num>
  <w:num w:numId="46">
    <w:abstractNumId w:val="14"/>
  </w:num>
  <w:num w:numId="47">
    <w:abstractNumId w:val="16"/>
  </w:num>
  <w:num w:numId="48">
    <w:abstractNumId w:val="12"/>
  </w:num>
  <w:num w:numId="49">
    <w:abstractNumId w:val="30"/>
  </w:num>
  <w:num w:numId="50">
    <w:abstractNumId w:val="3"/>
  </w:num>
  <w:num w:numId="51">
    <w:abstractNumId w:val="0"/>
  </w:num>
  <w:num w:numId="52">
    <w:abstractNumId w:val="39"/>
  </w:num>
  <w:num w:numId="53">
    <w:abstractNumId w:val="11"/>
  </w:num>
  <w:num w:numId="54">
    <w:abstractNumId w:val="7"/>
  </w:num>
  <w:num w:numId="55">
    <w:abstractNumId w:val="42"/>
  </w:num>
  <w:num w:numId="56">
    <w:abstractNumId w:val="49"/>
  </w:num>
  <w:num w:numId="57">
    <w:abstractNumId w:val="47"/>
  </w:num>
  <w:num w:numId="58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771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B70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3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442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315"/>
    <w:rsid w:val="0005757D"/>
    <w:rsid w:val="000575ED"/>
    <w:rsid w:val="00057649"/>
    <w:rsid w:val="00057CA3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B3F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AFA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557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A64"/>
    <w:rsid w:val="000D0C8F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5CA"/>
    <w:rsid w:val="0012169D"/>
    <w:rsid w:val="0012189E"/>
    <w:rsid w:val="001218CE"/>
    <w:rsid w:val="001219F5"/>
    <w:rsid w:val="00121A20"/>
    <w:rsid w:val="00121D09"/>
    <w:rsid w:val="00122174"/>
    <w:rsid w:val="001231EF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092"/>
    <w:rsid w:val="0017778A"/>
    <w:rsid w:val="00180304"/>
    <w:rsid w:val="00180B6F"/>
    <w:rsid w:val="0018143F"/>
    <w:rsid w:val="001817F1"/>
    <w:rsid w:val="00181D12"/>
    <w:rsid w:val="00182BB1"/>
    <w:rsid w:val="00182FC6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6E9"/>
    <w:rsid w:val="00185C19"/>
    <w:rsid w:val="00186721"/>
    <w:rsid w:val="00186F7A"/>
    <w:rsid w:val="00187149"/>
    <w:rsid w:val="00187FF9"/>
    <w:rsid w:val="00190959"/>
    <w:rsid w:val="00190AC1"/>
    <w:rsid w:val="00190C2B"/>
    <w:rsid w:val="00191EA1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6869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C7E35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3BD6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4F2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17C2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4E4F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5A5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A72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6C29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0BB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3BE4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89F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4AF"/>
    <w:rsid w:val="00311702"/>
    <w:rsid w:val="00311E82"/>
    <w:rsid w:val="003124BA"/>
    <w:rsid w:val="00312525"/>
    <w:rsid w:val="00312B75"/>
    <w:rsid w:val="00312C0A"/>
    <w:rsid w:val="00313534"/>
    <w:rsid w:val="00313BF3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067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577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955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1F23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1F8"/>
    <w:rsid w:val="003C733E"/>
    <w:rsid w:val="003C7806"/>
    <w:rsid w:val="003D016D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C4C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B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18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4E3C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2AC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A89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6ED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A59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1F7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AF5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CC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5712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40A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13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609"/>
    <w:rsid w:val="0059779B"/>
    <w:rsid w:val="00597B77"/>
    <w:rsid w:val="00597CB0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D83"/>
    <w:rsid w:val="005B34C7"/>
    <w:rsid w:val="005B35BD"/>
    <w:rsid w:val="005B35D7"/>
    <w:rsid w:val="005B36BF"/>
    <w:rsid w:val="005B392A"/>
    <w:rsid w:val="005B3AA3"/>
    <w:rsid w:val="005B3B9F"/>
    <w:rsid w:val="005B3F4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8E5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372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301"/>
    <w:rsid w:val="005D6446"/>
    <w:rsid w:val="005D69BE"/>
    <w:rsid w:val="005D6B32"/>
    <w:rsid w:val="005D7271"/>
    <w:rsid w:val="005D770E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CE9"/>
    <w:rsid w:val="00616D03"/>
    <w:rsid w:val="00620B97"/>
    <w:rsid w:val="00621140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DE7"/>
    <w:rsid w:val="00692E40"/>
    <w:rsid w:val="006931AC"/>
    <w:rsid w:val="00693BE3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E39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71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26D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4CFD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526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72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24B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4F1E"/>
    <w:rsid w:val="007957B1"/>
    <w:rsid w:val="00795C73"/>
    <w:rsid w:val="00795C92"/>
    <w:rsid w:val="00796209"/>
    <w:rsid w:val="00797341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86E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5DA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99A"/>
    <w:rsid w:val="00834A19"/>
    <w:rsid w:val="00834C82"/>
    <w:rsid w:val="008351EF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5DE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4D5"/>
    <w:rsid w:val="008C2F00"/>
    <w:rsid w:val="008C31C0"/>
    <w:rsid w:val="008C3A3B"/>
    <w:rsid w:val="008C3D46"/>
    <w:rsid w:val="008C4362"/>
    <w:rsid w:val="008C4589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473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5EF4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DC7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3A7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A9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7B8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076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7F3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DE4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51A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53A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E3E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88F"/>
    <w:rsid w:val="00A85A38"/>
    <w:rsid w:val="00A85D63"/>
    <w:rsid w:val="00A861C1"/>
    <w:rsid w:val="00A865BE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455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0E9"/>
    <w:rsid w:val="00AA446F"/>
    <w:rsid w:val="00AA4766"/>
    <w:rsid w:val="00AA497E"/>
    <w:rsid w:val="00AA4FF2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EC3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0F60"/>
    <w:rsid w:val="00AF1C5D"/>
    <w:rsid w:val="00AF1E22"/>
    <w:rsid w:val="00AF271A"/>
    <w:rsid w:val="00AF2A94"/>
    <w:rsid w:val="00AF2FCD"/>
    <w:rsid w:val="00AF306C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4308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BDB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94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48A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59"/>
    <w:rsid w:val="00BA5C90"/>
    <w:rsid w:val="00BA5FF2"/>
    <w:rsid w:val="00BA70BB"/>
    <w:rsid w:val="00BA7424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BE8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C00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163"/>
    <w:rsid w:val="00C3443D"/>
    <w:rsid w:val="00C34465"/>
    <w:rsid w:val="00C348D9"/>
    <w:rsid w:val="00C34BA3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A8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7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DED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36E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2DC9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947"/>
    <w:rsid w:val="00D57D14"/>
    <w:rsid w:val="00D57FA3"/>
    <w:rsid w:val="00D61AF5"/>
    <w:rsid w:val="00D61E32"/>
    <w:rsid w:val="00D62095"/>
    <w:rsid w:val="00D6231E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525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C41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5EF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3EF6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29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6E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99B"/>
    <w:rsid w:val="00E70BED"/>
    <w:rsid w:val="00E70D60"/>
    <w:rsid w:val="00E71098"/>
    <w:rsid w:val="00E71515"/>
    <w:rsid w:val="00E71A10"/>
    <w:rsid w:val="00E71B86"/>
    <w:rsid w:val="00E72D68"/>
    <w:rsid w:val="00E72E95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7A6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4F8"/>
    <w:rsid w:val="00EB0523"/>
    <w:rsid w:val="00EB077B"/>
    <w:rsid w:val="00EB0A8D"/>
    <w:rsid w:val="00EB0D24"/>
    <w:rsid w:val="00EB15E6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09A"/>
    <w:rsid w:val="00EE280C"/>
    <w:rsid w:val="00EE2897"/>
    <w:rsid w:val="00EE28F5"/>
    <w:rsid w:val="00EE2980"/>
    <w:rsid w:val="00EE35AB"/>
    <w:rsid w:val="00EE4D1A"/>
    <w:rsid w:val="00EE6B5A"/>
    <w:rsid w:val="00EE6C99"/>
    <w:rsid w:val="00EE6F03"/>
    <w:rsid w:val="00EE7AE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5F8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480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AF9"/>
    <w:rsid w:val="00FB3344"/>
    <w:rsid w:val="00FB3775"/>
    <w:rsid w:val="00FB3CA6"/>
    <w:rsid w:val="00FB4021"/>
    <w:rsid w:val="00FB413D"/>
    <w:rsid w:val="00FB4B2C"/>
    <w:rsid w:val="00FB4C80"/>
    <w:rsid w:val="00FB5017"/>
    <w:rsid w:val="00FB58C7"/>
    <w:rsid w:val="00FB5944"/>
    <w:rsid w:val="00FB5AE1"/>
    <w:rsid w:val="00FB6087"/>
    <w:rsid w:val="00FB61E1"/>
    <w:rsid w:val="00FB679F"/>
    <w:rsid w:val="00FB6BA8"/>
    <w:rsid w:val="00FB7389"/>
    <w:rsid w:val="00FC0C8C"/>
    <w:rsid w:val="00FC10F7"/>
    <w:rsid w:val="00FC186B"/>
    <w:rsid w:val="00FC1DCB"/>
    <w:rsid w:val="00FC2019"/>
    <w:rsid w:val="00FC24E7"/>
    <w:rsid w:val="00FC2E17"/>
    <w:rsid w:val="00FC3355"/>
    <w:rsid w:val="00FC35B9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EA4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4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34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340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02079-1A7B-444E-971F-DC4209D77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1397CE-1DF6-4E3B-BE56-DFF79A80E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2021-11-05T23:49:00Z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